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04B" w:rsidRPr="003A104B" w:rsidRDefault="003A104B" w:rsidP="003A104B">
      <w:pPr>
        <w:spacing w:after="0" w:line="276" w:lineRule="auto"/>
        <w:rPr>
          <w:rFonts w:ascii="Arial" w:eastAsia="Times New Roman" w:hAnsi="Arial" w:cs="Arial"/>
          <w:sz w:val="28"/>
          <w:szCs w:val="28"/>
          <w:lang w:eastAsia="pl-PL"/>
        </w:rPr>
      </w:pPr>
      <w:r w:rsidRPr="003A104B">
        <w:rPr>
          <w:rFonts w:ascii="Arial" w:eastAsia="Times New Roman" w:hAnsi="Arial" w:cs="Arial"/>
          <w:sz w:val="28"/>
          <w:szCs w:val="28"/>
          <w:lang w:eastAsia="pl-PL"/>
        </w:rPr>
        <w:t>………………………</w:t>
      </w:r>
      <w:r>
        <w:rPr>
          <w:rFonts w:ascii="Arial" w:eastAsia="Times New Roman" w:hAnsi="Arial" w:cs="Arial"/>
          <w:sz w:val="28"/>
          <w:szCs w:val="28"/>
          <w:lang w:eastAsia="pl-PL"/>
        </w:rPr>
        <w:t>…….</w:t>
      </w:r>
    </w:p>
    <w:p w:rsidR="003A104B" w:rsidRDefault="003A104B" w:rsidP="003A104B">
      <w:pPr>
        <w:spacing w:after="0" w:line="276" w:lineRule="auto"/>
        <w:rPr>
          <w:rFonts w:ascii="Arial" w:eastAsia="Times New Roman" w:hAnsi="Arial" w:cs="Arial"/>
          <w:sz w:val="18"/>
          <w:szCs w:val="18"/>
          <w:lang w:eastAsia="pl-PL"/>
        </w:rPr>
      </w:pPr>
      <w:r w:rsidRPr="003A104B">
        <w:rPr>
          <w:rFonts w:ascii="Arial" w:eastAsia="Times New Roman" w:hAnsi="Arial" w:cs="Arial"/>
          <w:sz w:val="18"/>
          <w:szCs w:val="18"/>
          <w:lang w:eastAsia="pl-PL"/>
        </w:rPr>
        <w:t>Imię i nazwisko</w:t>
      </w:r>
    </w:p>
    <w:p w:rsidR="003A104B" w:rsidRDefault="003A104B" w:rsidP="003A104B">
      <w:pPr>
        <w:spacing w:after="0" w:line="276" w:lineRule="auto"/>
        <w:rPr>
          <w:rFonts w:ascii="Arial" w:eastAsia="Times New Roman" w:hAnsi="Arial" w:cs="Arial"/>
          <w:sz w:val="18"/>
          <w:szCs w:val="18"/>
          <w:lang w:eastAsia="pl-PL"/>
        </w:rPr>
      </w:pPr>
    </w:p>
    <w:p w:rsidR="003A104B" w:rsidRPr="003A104B" w:rsidRDefault="003A104B" w:rsidP="003A104B">
      <w:pPr>
        <w:spacing w:after="0" w:line="276" w:lineRule="auto"/>
        <w:rPr>
          <w:rFonts w:ascii="Arial" w:eastAsia="Times New Roman" w:hAnsi="Arial" w:cs="Arial"/>
          <w:sz w:val="18"/>
          <w:szCs w:val="18"/>
          <w:lang w:eastAsia="pl-PL"/>
        </w:rPr>
      </w:pPr>
    </w:p>
    <w:p w:rsidR="003A104B" w:rsidRPr="003A104B" w:rsidRDefault="003A104B" w:rsidP="003A104B">
      <w:pPr>
        <w:spacing w:after="0" w:line="276" w:lineRule="auto"/>
        <w:rPr>
          <w:rFonts w:ascii="Arial" w:eastAsia="Times New Roman" w:hAnsi="Arial" w:cs="Arial"/>
          <w:sz w:val="28"/>
          <w:szCs w:val="28"/>
          <w:lang w:eastAsia="pl-PL"/>
        </w:rPr>
      </w:pPr>
      <w:r w:rsidRPr="003A104B">
        <w:rPr>
          <w:rFonts w:ascii="Arial" w:eastAsia="Times New Roman" w:hAnsi="Arial" w:cs="Arial"/>
          <w:sz w:val="28"/>
          <w:szCs w:val="28"/>
          <w:lang w:eastAsia="pl-PL"/>
        </w:rPr>
        <w:t>………………………</w:t>
      </w:r>
      <w:r>
        <w:rPr>
          <w:rFonts w:ascii="Arial" w:eastAsia="Times New Roman" w:hAnsi="Arial" w:cs="Arial"/>
          <w:sz w:val="28"/>
          <w:szCs w:val="28"/>
          <w:lang w:eastAsia="pl-PL"/>
        </w:rPr>
        <w:t>…….</w:t>
      </w:r>
    </w:p>
    <w:p w:rsidR="003A104B" w:rsidRPr="003A104B" w:rsidRDefault="003A104B" w:rsidP="003A104B">
      <w:pPr>
        <w:spacing w:after="0" w:line="276" w:lineRule="auto"/>
        <w:rPr>
          <w:rFonts w:ascii="Arial" w:eastAsia="Times New Roman" w:hAnsi="Arial" w:cs="Arial"/>
          <w:sz w:val="18"/>
          <w:szCs w:val="18"/>
          <w:lang w:eastAsia="pl-PL"/>
        </w:rPr>
      </w:pPr>
      <w:r w:rsidRPr="003A104B">
        <w:rPr>
          <w:rFonts w:ascii="Arial" w:eastAsia="Times New Roman" w:hAnsi="Arial" w:cs="Arial"/>
          <w:sz w:val="18"/>
          <w:szCs w:val="18"/>
          <w:lang w:eastAsia="pl-PL"/>
        </w:rPr>
        <w:t>Adres</w:t>
      </w:r>
    </w:p>
    <w:p w:rsidR="003A104B" w:rsidRDefault="003A104B" w:rsidP="003A104B">
      <w:pPr>
        <w:spacing w:after="0" w:line="276" w:lineRule="auto"/>
        <w:rPr>
          <w:rFonts w:ascii="Arial" w:eastAsia="Times New Roman" w:hAnsi="Arial" w:cs="Arial"/>
          <w:b/>
          <w:sz w:val="28"/>
          <w:szCs w:val="28"/>
          <w:lang w:eastAsia="pl-PL"/>
        </w:rPr>
      </w:pPr>
    </w:p>
    <w:p w:rsidR="003A104B" w:rsidRPr="003A104B" w:rsidRDefault="003A104B" w:rsidP="003A104B">
      <w:pPr>
        <w:spacing w:after="0" w:line="276" w:lineRule="auto"/>
        <w:rPr>
          <w:rFonts w:ascii="Arial" w:eastAsia="Times New Roman" w:hAnsi="Arial" w:cs="Arial"/>
          <w:b/>
          <w:sz w:val="24"/>
          <w:szCs w:val="24"/>
          <w:lang w:eastAsia="pl-PL"/>
        </w:rPr>
      </w:pPr>
      <w:r>
        <w:rPr>
          <w:rFonts w:ascii="Arial" w:eastAsia="Times New Roman" w:hAnsi="Arial" w:cs="Arial"/>
          <w:b/>
          <w:sz w:val="28"/>
          <w:szCs w:val="28"/>
          <w:lang w:eastAsia="pl-PL"/>
        </w:rPr>
        <w:tab/>
      </w:r>
      <w:r>
        <w:rPr>
          <w:rFonts w:ascii="Arial" w:eastAsia="Times New Roman" w:hAnsi="Arial" w:cs="Arial"/>
          <w:b/>
          <w:sz w:val="28"/>
          <w:szCs w:val="28"/>
          <w:lang w:eastAsia="pl-PL"/>
        </w:rPr>
        <w:tab/>
      </w:r>
      <w:r>
        <w:rPr>
          <w:rFonts w:ascii="Arial" w:eastAsia="Times New Roman" w:hAnsi="Arial" w:cs="Arial"/>
          <w:b/>
          <w:sz w:val="28"/>
          <w:szCs w:val="28"/>
          <w:lang w:eastAsia="pl-PL"/>
        </w:rPr>
        <w:tab/>
      </w:r>
      <w:r>
        <w:rPr>
          <w:rFonts w:ascii="Arial" w:eastAsia="Times New Roman" w:hAnsi="Arial" w:cs="Arial"/>
          <w:b/>
          <w:sz w:val="28"/>
          <w:szCs w:val="28"/>
          <w:lang w:eastAsia="pl-PL"/>
        </w:rPr>
        <w:tab/>
      </w:r>
      <w:r>
        <w:rPr>
          <w:rFonts w:ascii="Arial" w:eastAsia="Times New Roman" w:hAnsi="Arial" w:cs="Arial"/>
          <w:b/>
          <w:sz w:val="28"/>
          <w:szCs w:val="28"/>
          <w:lang w:eastAsia="pl-PL"/>
        </w:rPr>
        <w:tab/>
      </w:r>
      <w:r>
        <w:rPr>
          <w:rFonts w:ascii="Arial" w:eastAsia="Times New Roman" w:hAnsi="Arial" w:cs="Arial"/>
          <w:b/>
          <w:sz w:val="28"/>
          <w:szCs w:val="28"/>
          <w:lang w:eastAsia="pl-PL"/>
        </w:rPr>
        <w:tab/>
      </w:r>
      <w:r>
        <w:rPr>
          <w:rFonts w:ascii="Arial" w:eastAsia="Times New Roman" w:hAnsi="Arial" w:cs="Arial"/>
          <w:b/>
          <w:sz w:val="28"/>
          <w:szCs w:val="28"/>
          <w:lang w:eastAsia="pl-PL"/>
        </w:rPr>
        <w:tab/>
      </w:r>
      <w:r w:rsidRPr="003A104B">
        <w:rPr>
          <w:rFonts w:ascii="Arial" w:eastAsia="Times New Roman" w:hAnsi="Arial" w:cs="Arial"/>
          <w:b/>
          <w:sz w:val="24"/>
          <w:szCs w:val="24"/>
          <w:lang w:eastAsia="pl-PL"/>
        </w:rPr>
        <w:t>Regionalna Dyrekcja Ochrony</w:t>
      </w:r>
    </w:p>
    <w:p w:rsidR="003A104B" w:rsidRPr="003A104B" w:rsidRDefault="003A104B" w:rsidP="003A104B">
      <w:pPr>
        <w:spacing w:after="0" w:line="276" w:lineRule="auto"/>
        <w:rPr>
          <w:rFonts w:ascii="Arial" w:eastAsia="Times New Roman" w:hAnsi="Arial" w:cs="Arial"/>
          <w:b/>
          <w:sz w:val="24"/>
          <w:szCs w:val="24"/>
          <w:lang w:eastAsia="pl-PL"/>
        </w:rPr>
      </w:pPr>
      <w:r w:rsidRPr="003A104B">
        <w:rPr>
          <w:rFonts w:ascii="Arial" w:eastAsia="Times New Roman" w:hAnsi="Arial" w:cs="Arial"/>
          <w:b/>
          <w:sz w:val="24"/>
          <w:szCs w:val="24"/>
          <w:lang w:eastAsia="pl-PL"/>
        </w:rPr>
        <w:tab/>
      </w:r>
      <w:r w:rsidRPr="003A104B">
        <w:rPr>
          <w:rFonts w:ascii="Arial" w:eastAsia="Times New Roman" w:hAnsi="Arial" w:cs="Arial"/>
          <w:b/>
          <w:sz w:val="24"/>
          <w:szCs w:val="24"/>
          <w:lang w:eastAsia="pl-PL"/>
        </w:rPr>
        <w:tab/>
      </w:r>
      <w:r w:rsidRPr="003A104B">
        <w:rPr>
          <w:rFonts w:ascii="Arial" w:eastAsia="Times New Roman" w:hAnsi="Arial" w:cs="Arial"/>
          <w:b/>
          <w:sz w:val="24"/>
          <w:szCs w:val="24"/>
          <w:lang w:eastAsia="pl-PL"/>
        </w:rPr>
        <w:tab/>
      </w:r>
      <w:r w:rsidRPr="003A104B">
        <w:rPr>
          <w:rFonts w:ascii="Arial" w:eastAsia="Times New Roman" w:hAnsi="Arial" w:cs="Arial"/>
          <w:b/>
          <w:sz w:val="24"/>
          <w:szCs w:val="24"/>
          <w:lang w:eastAsia="pl-PL"/>
        </w:rPr>
        <w:tab/>
      </w:r>
      <w:r w:rsidRPr="003A104B">
        <w:rPr>
          <w:rFonts w:ascii="Arial" w:eastAsia="Times New Roman" w:hAnsi="Arial" w:cs="Arial"/>
          <w:b/>
          <w:sz w:val="24"/>
          <w:szCs w:val="24"/>
          <w:lang w:eastAsia="pl-PL"/>
        </w:rPr>
        <w:tab/>
      </w:r>
      <w:r w:rsidRPr="003A104B">
        <w:rPr>
          <w:rFonts w:ascii="Arial" w:eastAsia="Times New Roman" w:hAnsi="Arial" w:cs="Arial"/>
          <w:b/>
          <w:sz w:val="24"/>
          <w:szCs w:val="24"/>
          <w:lang w:eastAsia="pl-PL"/>
        </w:rPr>
        <w:tab/>
      </w:r>
      <w:r w:rsidRPr="003A104B">
        <w:rPr>
          <w:rFonts w:ascii="Arial" w:eastAsia="Times New Roman" w:hAnsi="Arial" w:cs="Arial"/>
          <w:b/>
          <w:sz w:val="24"/>
          <w:szCs w:val="24"/>
          <w:lang w:eastAsia="pl-PL"/>
        </w:rPr>
        <w:tab/>
        <w:t xml:space="preserve">Środowiska w Warszawie </w:t>
      </w:r>
    </w:p>
    <w:p w:rsidR="003A104B" w:rsidRDefault="003A104B" w:rsidP="00336549">
      <w:pPr>
        <w:spacing w:after="0" w:line="276" w:lineRule="auto"/>
        <w:jc w:val="center"/>
        <w:rPr>
          <w:rFonts w:ascii="Arial" w:eastAsia="Times New Roman" w:hAnsi="Arial" w:cs="Arial"/>
          <w:b/>
          <w:sz w:val="28"/>
          <w:szCs w:val="28"/>
          <w:lang w:eastAsia="pl-PL"/>
        </w:rPr>
      </w:pPr>
    </w:p>
    <w:p w:rsidR="003A104B" w:rsidRDefault="003A104B" w:rsidP="00336549">
      <w:pPr>
        <w:spacing w:after="0" w:line="276" w:lineRule="auto"/>
        <w:jc w:val="center"/>
        <w:rPr>
          <w:rFonts w:ascii="Arial" w:eastAsia="Times New Roman" w:hAnsi="Arial" w:cs="Arial"/>
          <w:b/>
          <w:sz w:val="28"/>
          <w:szCs w:val="28"/>
          <w:lang w:eastAsia="pl-PL"/>
        </w:rPr>
      </w:pPr>
    </w:p>
    <w:p w:rsidR="00336549" w:rsidRPr="00336549" w:rsidRDefault="00336549" w:rsidP="00336549">
      <w:pPr>
        <w:spacing w:after="0" w:line="276" w:lineRule="auto"/>
        <w:jc w:val="center"/>
        <w:rPr>
          <w:rFonts w:ascii="Arial" w:eastAsia="Times New Roman" w:hAnsi="Arial" w:cs="Arial"/>
          <w:b/>
          <w:sz w:val="28"/>
          <w:szCs w:val="28"/>
          <w:lang w:eastAsia="pl-PL"/>
        </w:rPr>
      </w:pPr>
      <w:r w:rsidRPr="00336549">
        <w:rPr>
          <w:rFonts w:ascii="Arial" w:eastAsia="Times New Roman" w:hAnsi="Arial" w:cs="Arial"/>
          <w:b/>
          <w:sz w:val="28"/>
          <w:szCs w:val="28"/>
          <w:lang w:eastAsia="pl-PL"/>
        </w:rPr>
        <w:t xml:space="preserve">Uwagi i wnioski </w:t>
      </w:r>
    </w:p>
    <w:p w:rsidR="00336549" w:rsidRPr="00336549" w:rsidRDefault="00336549" w:rsidP="00336549">
      <w:pPr>
        <w:spacing w:after="0" w:line="276" w:lineRule="auto"/>
        <w:jc w:val="center"/>
        <w:rPr>
          <w:rFonts w:ascii="Arial" w:eastAsia="Times New Roman" w:hAnsi="Arial" w:cs="Arial"/>
          <w:sz w:val="24"/>
          <w:szCs w:val="24"/>
          <w:lang w:eastAsia="pl-PL"/>
        </w:rPr>
      </w:pPr>
      <w:r w:rsidRPr="00336549">
        <w:rPr>
          <w:rFonts w:ascii="Arial" w:eastAsia="Times New Roman" w:hAnsi="Arial" w:cs="Arial"/>
          <w:bCs/>
          <w:sz w:val="24"/>
          <w:szCs w:val="24"/>
          <w:lang w:eastAsia="pl-PL"/>
        </w:rPr>
        <w:t xml:space="preserve">na temat: </w:t>
      </w:r>
      <w:r w:rsidRPr="00336549">
        <w:rPr>
          <w:rFonts w:ascii="Arial" w:eastAsia="Times New Roman" w:hAnsi="Arial" w:cs="Arial"/>
          <w:bCs/>
          <w:i/>
          <w:iCs/>
          <w:sz w:val="24"/>
          <w:szCs w:val="24"/>
          <w:lang w:eastAsia="pl-PL"/>
        </w:rPr>
        <w:t>Raportu oceny oddziaływania dla przedsięwzięcia pn.” Budowa Centralnego Portu Komunikacyjnego wraz z urządzeniami i obiektami niezbędnymi do jego funkcjonowania”</w:t>
      </w:r>
      <w:r w:rsidRPr="00336549">
        <w:rPr>
          <w:rFonts w:ascii="Arial" w:eastAsia="Times New Roman" w:hAnsi="Arial" w:cs="Arial"/>
          <w:bCs/>
          <w:sz w:val="24"/>
          <w:szCs w:val="24"/>
          <w:lang w:eastAsia="pl-PL"/>
        </w:rPr>
        <w:t xml:space="preserve"> będącego załącznikiem do </w:t>
      </w:r>
      <w:r w:rsidRPr="00336549">
        <w:rPr>
          <w:rFonts w:ascii="Arial" w:eastAsia="Times New Roman" w:hAnsi="Arial" w:cs="Arial"/>
          <w:bCs/>
          <w:i/>
          <w:iCs/>
          <w:sz w:val="24"/>
          <w:szCs w:val="24"/>
          <w:lang w:eastAsia="pl-PL"/>
        </w:rPr>
        <w:t>Wniosku o wydanie decyzji</w:t>
      </w:r>
      <w:r w:rsidRPr="00336549">
        <w:rPr>
          <w:rFonts w:ascii="Arial" w:eastAsia="Times New Roman" w:hAnsi="Arial" w:cs="Arial"/>
          <w:bCs/>
          <w:i/>
          <w:iCs/>
          <w:sz w:val="24"/>
          <w:szCs w:val="24"/>
          <w:lang w:eastAsia="pl-PL"/>
        </w:rPr>
        <w:br/>
        <w:t>o środowiskowych uwarunkowaniach.</w:t>
      </w:r>
    </w:p>
    <w:p w:rsidR="00336549" w:rsidRDefault="00336549" w:rsidP="00336549">
      <w:pPr>
        <w:ind w:firstLine="708"/>
        <w:jc w:val="both"/>
      </w:pPr>
    </w:p>
    <w:p w:rsidR="00DB7942" w:rsidRPr="00377F14" w:rsidRDefault="00336549" w:rsidP="00336549">
      <w:pPr>
        <w:ind w:firstLine="708"/>
        <w:jc w:val="both"/>
      </w:pPr>
      <w:r w:rsidRPr="00377F14">
        <w:t>W związku z prowadzonym postępowaniem w sprawie wydania decyzji o środowiskowych uwarunkowaniach dla przedsięwzięcia pn</w:t>
      </w:r>
      <w:r w:rsidRPr="00377F14">
        <w:rPr>
          <w:i/>
        </w:rPr>
        <w:t>. „Budowa Centralnego Portu Komunikacyjnego wraz z urządzeniami i obiektami niezbędnymi do jego funkcjonowania</w:t>
      </w:r>
      <w:r w:rsidRPr="00377F14">
        <w:t>” w ramach przeprowadzanej oceny oddziaływania na środowisko zostało wydane obwieszczenie Regionalnego Dyrektora Ochrony Środowiska w Warszawie znak: WOOŚ-II.420.85.2022.MP.162 z dnia 5.04.2023</w:t>
      </w:r>
      <w:r w:rsidR="00B67450">
        <w:t xml:space="preserve"> </w:t>
      </w:r>
      <w:r w:rsidRPr="00377F14">
        <w:t>r. informujące o możliwości składania uwag i wniosków do prowadzonego postępowania przez każdą zainteresowaną osobę fizyczną, instytucję czy miejscowo właściwą jednostkę samorządu terytorialnego w terminie</w:t>
      </w:r>
      <w:r w:rsidRPr="00377F14">
        <w:br/>
        <w:t>od 7.04.2023 r. do 6.05.2023 r.</w:t>
      </w:r>
    </w:p>
    <w:p w:rsidR="00336549" w:rsidRPr="00377F14" w:rsidRDefault="00336549" w:rsidP="00F552F1">
      <w:pPr>
        <w:jc w:val="both"/>
        <w:rPr>
          <w:rFonts w:cstheme="minorHAnsi"/>
        </w:rPr>
      </w:pPr>
      <w:r w:rsidRPr="00377F14">
        <w:rPr>
          <w:rFonts w:cstheme="minorHAnsi"/>
        </w:rPr>
        <w:t xml:space="preserve">Mając na uwadze powyższe </w:t>
      </w:r>
      <w:r w:rsidR="00F552F1" w:rsidRPr="00377F14">
        <w:rPr>
          <w:rFonts w:cstheme="minorHAnsi"/>
        </w:rPr>
        <w:t>przedstawiam swoje uwagi w następującej treści:</w:t>
      </w:r>
    </w:p>
    <w:p w:rsidR="00336549" w:rsidRPr="00377F14" w:rsidRDefault="00F552F1" w:rsidP="005A14F0">
      <w:pPr>
        <w:pStyle w:val="Akapitzlist"/>
        <w:numPr>
          <w:ilvl w:val="0"/>
          <w:numId w:val="2"/>
        </w:numPr>
        <w:jc w:val="both"/>
        <w:rPr>
          <w:rFonts w:cstheme="minorHAnsi"/>
        </w:rPr>
      </w:pPr>
      <w:r w:rsidRPr="00377F14">
        <w:rPr>
          <w:rFonts w:cstheme="minorHAnsi"/>
        </w:rPr>
        <w:t>N</w:t>
      </w:r>
      <w:r w:rsidR="00336549" w:rsidRPr="00377F14">
        <w:rPr>
          <w:rFonts w:cstheme="minorHAnsi"/>
        </w:rPr>
        <w:t>a terenie Gminy Młodzieszyn znajduje się jednolita część wód powierzchniowych rzecznych Bzura od Rawki do ujścia o kodzie JCWP</w:t>
      </w:r>
      <w:r w:rsidR="00297B34">
        <w:rPr>
          <w:rFonts w:cstheme="minorHAnsi"/>
        </w:rPr>
        <w:t xml:space="preserve"> (jednolita część wód powierzchniowych)</w:t>
      </w:r>
      <w:r w:rsidR="00336549" w:rsidRPr="00377F14">
        <w:rPr>
          <w:rFonts w:cstheme="minorHAnsi"/>
        </w:rPr>
        <w:t xml:space="preserve"> RW20001627299</w:t>
      </w:r>
      <w:r w:rsidR="00297B34">
        <w:rPr>
          <w:rFonts w:cstheme="minorHAnsi"/>
        </w:rPr>
        <w:t xml:space="preserve"> </w:t>
      </w:r>
      <w:r w:rsidR="00336549" w:rsidRPr="00377F14">
        <w:rPr>
          <w:rFonts w:cstheme="minorHAnsi"/>
        </w:rPr>
        <w:t>poddana analizie w raporcie o oddziaływaniu przedsięwzięcia na środowisko</w:t>
      </w:r>
      <w:r w:rsidRPr="00377F14">
        <w:rPr>
          <w:rFonts w:cstheme="minorHAnsi"/>
        </w:rPr>
        <w:t xml:space="preserve"> dla przedsięwzięcia pn</w:t>
      </w:r>
      <w:r w:rsidRPr="00377F14">
        <w:rPr>
          <w:rFonts w:cstheme="minorHAnsi"/>
          <w:i/>
        </w:rPr>
        <w:t>. „Budowa Centralnego Portu Komunikacyjnego wraz z urządzeniami i obiektami niezbędnymi do jego funkcjonowania</w:t>
      </w:r>
      <w:r w:rsidRPr="00377F14">
        <w:rPr>
          <w:rFonts w:cstheme="minorHAnsi"/>
        </w:rPr>
        <w:t>”</w:t>
      </w:r>
      <w:r w:rsidR="00336549" w:rsidRPr="00377F14">
        <w:rPr>
          <w:rFonts w:cstheme="minorHAnsi"/>
        </w:rPr>
        <w:t>.</w:t>
      </w:r>
      <w:r w:rsidRPr="00377F14">
        <w:rPr>
          <w:rFonts w:cstheme="minorHAnsi"/>
        </w:rPr>
        <w:t xml:space="preserve"> Ze względu na zakres prac, które są planowane w przedmiotowym przedsięwzięciu</w:t>
      </w:r>
      <w:r w:rsidR="004D27B2" w:rsidRPr="00377F14">
        <w:rPr>
          <w:rFonts w:cstheme="minorHAnsi"/>
        </w:rPr>
        <w:t xml:space="preserve"> istnieją uzasadnione obawy o</w:t>
      </w:r>
      <w:r w:rsidRPr="00377F14">
        <w:rPr>
          <w:rFonts w:cstheme="minorHAnsi"/>
        </w:rPr>
        <w:t xml:space="preserve"> pogorszeniu stanu wód powierzchniowych</w:t>
      </w:r>
      <w:r w:rsidR="004D27B2" w:rsidRPr="00377F14">
        <w:rPr>
          <w:rFonts w:cstheme="minorHAnsi"/>
        </w:rPr>
        <w:t xml:space="preserve"> na terenie Gminy Młodzieszyn.</w:t>
      </w:r>
      <w:r w:rsidRPr="00377F14">
        <w:rPr>
          <w:rFonts w:cstheme="minorHAnsi"/>
        </w:rPr>
        <w:t xml:space="preserve"> </w:t>
      </w:r>
      <w:r w:rsidR="004D27B2" w:rsidRPr="00377F14">
        <w:rPr>
          <w:rFonts w:cstheme="minorHAnsi"/>
        </w:rPr>
        <w:t xml:space="preserve">Pragnę zwrócić uwagę, że ich </w:t>
      </w:r>
      <w:r w:rsidRPr="00377F14">
        <w:rPr>
          <w:rFonts w:cstheme="minorHAnsi"/>
        </w:rPr>
        <w:t xml:space="preserve">stan ekologiczny obecnie oceniany już jest jako słaby, a stan ogólny wód, jako zły </w:t>
      </w:r>
      <w:r w:rsidR="004D27B2" w:rsidRPr="00377F14">
        <w:rPr>
          <w:rFonts w:cstheme="minorHAnsi"/>
        </w:rPr>
        <w:t>co w dalszym etapie postępującej degradacji może realnie</w:t>
      </w:r>
      <w:r w:rsidRPr="00377F14">
        <w:rPr>
          <w:rFonts w:cstheme="minorHAnsi"/>
        </w:rPr>
        <w:t xml:space="preserve"> zagrozić realizacji celów środowiskowych dla jednolitej część wód powierzchniowych rzecznych Bzura od Rawki RW20001627299.</w:t>
      </w:r>
      <w:r w:rsidR="005A14F0" w:rsidRPr="00377F14">
        <w:rPr>
          <w:rFonts w:cstheme="minorHAnsi"/>
        </w:rPr>
        <w:t xml:space="preserve"> Również</w:t>
      </w:r>
      <w:r w:rsidR="004D27B2" w:rsidRPr="00377F14">
        <w:rPr>
          <w:rFonts w:cstheme="minorHAnsi"/>
        </w:rPr>
        <w:t xml:space="preserve"> ze względu na fakt iż</w:t>
      </w:r>
      <w:r w:rsidR="00297B34">
        <w:rPr>
          <w:rFonts w:cstheme="minorHAnsi"/>
        </w:rPr>
        <w:t xml:space="preserve"> na</w:t>
      </w:r>
      <w:bookmarkStart w:id="0" w:name="_GoBack"/>
      <w:bookmarkEnd w:id="0"/>
      <w:r w:rsidR="00336549" w:rsidRPr="00377F14">
        <w:rPr>
          <w:rFonts w:cstheme="minorHAnsi"/>
        </w:rPr>
        <w:t xml:space="preserve"> terenie Gminy Młodzieszyn znajduje się JCWP GW200065 poddany analizie w przedmiotowym raporcie o oddziaływaniu przedsięwzięcia na środowisko</w:t>
      </w:r>
      <w:r w:rsidR="004D27B2" w:rsidRPr="00377F14">
        <w:rPr>
          <w:rFonts w:cstheme="minorHAnsi"/>
        </w:rPr>
        <w:t xml:space="preserve"> z</w:t>
      </w:r>
      <w:r w:rsidR="005A14F0" w:rsidRPr="00377F14">
        <w:rPr>
          <w:rFonts w:cstheme="minorHAnsi"/>
        </w:rPr>
        <w:t>realizowanie</w:t>
      </w:r>
      <w:r w:rsidR="00336549" w:rsidRPr="00377F14">
        <w:rPr>
          <w:rFonts w:cstheme="minorHAnsi"/>
        </w:rPr>
        <w:t xml:space="preserve"> opisanego </w:t>
      </w:r>
      <w:r w:rsidR="004D27B2" w:rsidRPr="00377F14">
        <w:rPr>
          <w:rFonts w:cstheme="minorHAnsi"/>
        </w:rPr>
        <w:t>w raporcie</w:t>
      </w:r>
      <w:r w:rsidR="00336549" w:rsidRPr="00377F14">
        <w:rPr>
          <w:rFonts w:cstheme="minorHAnsi"/>
        </w:rPr>
        <w:t xml:space="preserve"> zakresu prac</w:t>
      </w:r>
      <w:r w:rsidR="005A14F0" w:rsidRPr="00377F14">
        <w:rPr>
          <w:rFonts w:cstheme="minorHAnsi"/>
        </w:rPr>
        <w:t>,</w:t>
      </w:r>
      <w:r w:rsidR="00336549" w:rsidRPr="00377F14">
        <w:rPr>
          <w:rFonts w:cstheme="minorHAnsi"/>
        </w:rPr>
        <w:t xml:space="preserve"> a także sama eksploatacja lotniska może zagrozić pogorszeniu stanu wód podziemnych obecnie ocenianych jako dobry oraz realizacji celów środowiskowych dla JCWP  GW200065.</w:t>
      </w:r>
    </w:p>
    <w:p w:rsidR="00336549" w:rsidRPr="00377F14" w:rsidRDefault="00336549" w:rsidP="00F74494">
      <w:pPr>
        <w:ind w:left="708"/>
        <w:jc w:val="both"/>
        <w:rPr>
          <w:rFonts w:cstheme="minorHAnsi"/>
        </w:rPr>
      </w:pPr>
      <w:r w:rsidRPr="00377F14">
        <w:rPr>
          <w:rFonts w:cstheme="minorHAnsi"/>
        </w:rPr>
        <w:t>Aby na etapie eksploatacji</w:t>
      </w:r>
      <w:r w:rsidR="004D27B2" w:rsidRPr="00377F14">
        <w:rPr>
          <w:rFonts w:cstheme="minorHAnsi"/>
        </w:rPr>
        <w:t xml:space="preserve"> </w:t>
      </w:r>
      <w:r w:rsidR="005A14F0" w:rsidRPr="00377F14">
        <w:rPr>
          <w:rFonts w:cstheme="minorHAnsi"/>
        </w:rPr>
        <w:t xml:space="preserve">przedsięwzięcia </w:t>
      </w:r>
      <w:r w:rsidR="004D27B2" w:rsidRPr="00377F14">
        <w:rPr>
          <w:rFonts w:cstheme="minorHAnsi"/>
        </w:rPr>
        <w:t xml:space="preserve">zostały zachowane dobre praktyki </w:t>
      </w:r>
      <w:r w:rsidRPr="00377F14">
        <w:rPr>
          <w:rFonts w:cstheme="minorHAnsi"/>
        </w:rPr>
        <w:t xml:space="preserve">na Inwestora zasadnym byłoby nałożyć obowiązek monitoringu, jakości środowiska gruntowo – wodnego na etapie analiz </w:t>
      </w:r>
      <w:proofErr w:type="spellStart"/>
      <w:r w:rsidRPr="00377F14">
        <w:rPr>
          <w:rFonts w:cstheme="minorHAnsi"/>
        </w:rPr>
        <w:t>porealizacyjnych</w:t>
      </w:r>
      <w:proofErr w:type="spellEnd"/>
      <w:r w:rsidRPr="00377F14">
        <w:rPr>
          <w:rFonts w:cstheme="minorHAnsi"/>
        </w:rPr>
        <w:t xml:space="preserve"> w ramach zapisów decyzji o środowiskowych </w:t>
      </w:r>
      <w:r w:rsidRPr="00377F14">
        <w:rPr>
          <w:rFonts w:cstheme="minorHAnsi"/>
        </w:rPr>
        <w:lastRenderedPageBreak/>
        <w:t>uwarunkowaniach, a także w ramach obowiązków określonych w pozwoleniach wodnoprawnych szczególnie dla Strefy odladzania statków powietrznych z uwagi na użycie</w:t>
      </w:r>
      <w:r w:rsidR="005A14F0" w:rsidRPr="00377F14">
        <w:rPr>
          <w:rFonts w:cstheme="minorHAnsi"/>
        </w:rPr>
        <w:t xml:space="preserve"> </w:t>
      </w:r>
      <w:r w:rsidRPr="00377F14">
        <w:rPr>
          <w:rFonts w:cstheme="minorHAnsi"/>
        </w:rPr>
        <w:t>w substancjach odladzający szkodliwych substancji tj. różnych  glikoli.</w:t>
      </w:r>
    </w:p>
    <w:p w:rsidR="00336549" w:rsidRPr="00377F14" w:rsidRDefault="00336549" w:rsidP="00336549">
      <w:pPr>
        <w:ind w:firstLine="708"/>
        <w:jc w:val="both"/>
      </w:pPr>
    </w:p>
    <w:p w:rsidR="00336549" w:rsidRPr="00377F14" w:rsidRDefault="00336549" w:rsidP="003A104B">
      <w:pPr>
        <w:pStyle w:val="Akapitzlist"/>
        <w:numPr>
          <w:ilvl w:val="0"/>
          <w:numId w:val="2"/>
        </w:numPr>
        <w:jc w:val="both"/>
      </w:pPr>
      <w:r w:rsidRPr="00377F14">
        <w:t>Na terenie Gminy Młodzieszyn znajduje się sieć dróg dojazdowych, przy której znajdują się tereny chronione akustycznie. Zwiększone natężenie ruchu pojazdów,</w:t>
      </w:r>
      <w:r w:rsidR="003A104B" w:rsidRPr="00377F14">
        <w:t xml:space="preserve"> </w:t>
      </w:r>
      <w:r w:rsidRPr="00377F14">
        <w:t xml:space="preserve">a zwłaszcza ciężkich pojazdów ciężarowych trwające przez 24 godziny na dobę, dowożące materiały budowlane oraz wywożące urobek, może spowodować przekroczenie dopuszczalnego poziomu hałasu w środowisku określonego w Rozporządzeniu Ministra Środowiska z dnia 14 czerwca 2007 r. w sprawie dopuszczalnych poziomów hałasu w środowisku (Dz. U. z 2014 r., poz. 112). Nadmierny hałas może wywoływać </w:t>
      </w:r>
      <w:r w:rsidRPr="00377F14">
        <w:rPr>
          <w:bCs/>
        </w:rPr>
        <w:t xml:space="preserve">negatywne skutki zdrowotne </w:t>
      </w:r>
      <w:r w:rsidRPr="00377F14">
        <w:t xml:space="preserve">związane np. z chorobami serca, zaburzeniami snu, zaburzenia koncentracji,  na które Inwestor wskazuje w rozdziale 3.2.1 Krok 1 i 2a – </w:t>
      </w:r>
      <w:r w:rsidRPr="00377F14">
        <w:rPr>
          <w:i/>
        </w:rPr>
        <w:t>„Identyfikacja kluczowych działań</w:t>
      </w:r>
      <w:r w:rsidR="00F74494" w:rsidRPr="00377F14">
        <w:rPr>
          <w:i/>
        </w:rPr>
        <w:t xml:space="preserve"> </w:t>
      </w:r>
      <w:r w:rsidRPr="00377F14">
        <w:rPr>
          <w:i/>
        </w:rPr>
        <w:t>i oddziaływań”</w:t>
      </w:r>
      <w:r w:rsidRPr="00377F14">
        <w:t>. W związku z powyższym protestujemy przeciwko takiemu rozwiązaniu</w:t>
      </w:r>
      <w:r w:rsidR="00F74494" w:rsidRPr="00377F14">
        <w:t xml:space="preserve"> </w:t>
      </w:r>
      <w:r w:rsidRPr="00377F14">
        <w:t>i wnosimy o całodobowy zakaz ruchu po drogach znajdujących się na terenie Gminy Młodzieszyn pojazdów ciężarowych (powyżej 3,5 T), a pojazdów do 3,5 T zakaz ruchu w porze dziennej.</w:t>
      </w:r>
    </w:p>
    <w:p w:rsidR="00F552F1" w:rsidRPr="00377F14" w:rsidRDefault="00F552F1" w:rsidP="003A104B">
      <w:pPr>
        <w:ind w:left="708"/>
        <w:jc w:val="both"/>
      </w:pPr>
      <w:r w:rsidRPr="00377F14">
        <w:t>Na etapie realizacji przedsięwzięcia budynki i ludzie w nich przebywający mogą być narażeni na drgania przenoszone na budynek przez podłoże, będące wynikiem oddziaływania ruchu pojazdów ciężarowych zaopatrujących budowę CPK zwłaszcza, że budynki często usytuowane są blisko arterii komunikacyjnych. Powyższe może rodzić konflikty społeczne</w:t>
      </w:r>
      <w:r w:rsidR="003A104B" w:rsidRPr="00377F14">
        <w:t xml:space="preserve"> </w:t>
      </w:r>
      <w:r w:rsidRPr="00377F14">
        <w:t>i roszczenia mieszkańców np.: na skutek pojawiających się zarysowań i spękań na budynkach.</w:t>
      </w:r>
    </w:p>
    <w:p w:rsidR="00F552F1" w:rsidRPr="00377F14" w:rsidRDefault="00F552F1" w:rsidP="003A104B">
      <w:pPr>
        <w:ind w:left="708"/>
        <w:jc w:val="both"/>
      </w:pPr>
      <w:r w:rsidRPr="00377F14">
        <w:t>Szczególnie newralgiczne tereny podlegające ochronie akustycznej znajdują się</w:t>
      </w:r>
      <w:r w:rsidRPr="00377F14">
        <w:br/>
        <w:t>w pobliżu DK 50, na terenie których funkcjonują: Szkoła Podstawowa im. gen. bryg. Franciszka Włada w Kamionie oraz Szkoła Podstawowa im. płk Ludwika Głowackiego w Janowie.  Zapewnienie komfortu akustycznego jest niezbędne dla funkcjonowania placówek oświatowych i uczęszczających do szkół dzieci i młodzieży.</w:t>
      </w:r>
    </w:p>
    <w:p w:rsidR="00F552F1" w:rsidRPr="00F552F1" w:rsidRDefault="00F552F1" w:rsidP="00F552F1">
      <w:pPr>
        <w:ind w:firstLine="708"/>
        <w:jc w:val="both"/>
      </w:pPr>
    </w:p>
    <w:p w:rsidR="00336549" w:rsidRDefault="00336549" w:rsidP="00336549">
      <w:pPr>
        <w:ind w:firstLine="708"/>
        <w:jc w:val="both"/>
      </w:pPr>
    </w:p>
    <w:p w:rsidR="003A104B" w:rsidRDefault="003A104B" w:rsidP="00336549">
      <w:pPr>
        <w:ind w:firstLine="708"/>
        <w:jc w:val="both"/>
      </w:pPr>
    </w:p>
    <w:p w:rsidR="003A104B" w:rsidRDefault="003A104B" w:rsidP="00336549">
      <w:pPr>
        <w:ind w:firstLine="708"/>
        <w:jc w:val="both"/>
      </w:pPr>
    </w:p>
    <w:p w:rsidR="003A104B" w:rsidRDefault="003A104B" w:rsidP="00336549">
      <w:pPr>
        <w:ind w:firstLine="708"/>
        <w:jc w:val="both"/>
      </w:pPr>
      <w:r>
        <w:tab/>
      </w:r>
      <w:r>
        <w:tab/>
      </w:r>
      <w:r>
        <w:tab/>
      </w:r>
      <w:r>
        <w:tab/>
      </w:r>
      <w:r>
        <w:tab/>
      </w:r>
      <w:r>
        <w:tab/>
        <w:t>……………………………………………………………….</w:t>
      </w:r>
    </w:p>
    <w:p w:rsidR="003A104B" w:rsidRPr="003A104B" w:rsidRDefault="003A104B" w:rsidP="00336549">
      <w:pPr>
        <w:ind w:firstLine="708"/>
        <w:jc w:val="both"/>
        <w:rPr>
          <w:i/>
        </w:rPr>
      </w:pPr>
      <w:r>
        <w:tab/>
      </w:r>
      <w:r>
        <w:tab/>
      </w:r>
      <w:r>
        <w:tab/>
      </w:r>
      <w:r>
        <w:tab/>
      </w:r>
      <w:r>
        <w:tab/>
      </w:r>
      <w:r>
        <w:tab/>
      </w:r>
      <w:r>
        <w:tab/>
      </w:r>
      <w:r>
        <w:tab/>
      </w:r>
      <w:r w:rsidRPr="003A104B">
        <w:rPr>
          <w:i/>
        </w:rPr>
        <w:t xml:space="preserve">podpis </w:t>
      </w:r>
    </w:p>
    <w:sectPr w:rsidR="003A104B" w:rsidRPr="003A104B" w:rsidSect="003243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66161"/>
    <w:multiLevelType w:val="hybridMultilevel"/>
    <w:tmpl w:val="3FCAAE60"/>
    <w:lvl w:ilvl="0" w:tplc="73A4FE92">
      <w:start w:val="5"/>
      <w:numFmt w:val="bullet"/>
      <w:lvlText w:val=""/>
      <w:lvlJc w:val="left"/>
      <w:pPr>
        <w:ind w:left="1428" w:hanging="360"/>
      </w:pPr>
      <w:rPr>
        <w:rFonts w:ascii="Symbol" w:eastAsiaTheme="minorHAnsi" w:hAnsi="Symbol" w:cstheme="minorBidi"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nsid w:val="40AE1FE9"/>
    <w:multiLevelType w:val="hybridMultilevel"/>
    <w:tmpl w:val="E424CD3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5D4F6E74"/>
    <w:multiLevelType w:val="hybridMultilevel"/>
    <w:tmpl w:val="3D069CB8"/>
    <w:lvl w:ilvl="0" w:tplc="73A4FE92">
      <w:start w:val="5"/>
      <w:numFmt w:val="bullet"/>
      <w:lvlText w:val=""/>
      <w:lvlJc w:val="left"/>
      <w:pPr>
        <w:ind w:left="1440" w:hanging="360"/>
      </w:pPr>
      <w:rPr>
        <w:rFonts w:ascii="Symbol" w:eastAsiaTheme="minorHAnsi" w:hAnsi="Symbol" w:cstheme="minorBid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650673F9"/>
    <w:multiLevelType w:val="hybridMultilevel"/>
    <w:tmpl w:val="E51E58F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nsid w:val="6DA347EB"/>
    <w:multiLevelType w:val="hybridMultilevel"/>
    <w:tmpl w:val="263AD8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336549"/>
    <w:rsid w:val="00297B34"/>
    <w:rsid w:val="003243BF"/>
    <w:rsid w:val="00336549"/>
    <w:rsid w:val="00377F14"/>
    <w:rsid w:val="003A104B"/>
    <w:rsid w:val="004D27B2"/>
    <w:rsid w:val="005A14F0"/>
    <w:rsid w:val="00B67450"/>
    <w:rsid w:val="00DB7942"/>
    <w:rsid w:val="00F552F1"/>
    <w:rsid w:val="00F7449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43B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36549"/>
    <w:rPr>
      <w:color w:val="0563C1" w:themeColor="hyperlink"/>
      <w:u w:val="single"/>
    </w:rPr>
  </w:style>
  <w:style w:type="paragraph" w:styleId="Akapitzlist">
    <w:name w:val="List Paragraph"/>
    <w:basedOn w:val="Normalny"/>
    <w:uiPriority w:val="34"/>
    <w:qFormat/>
    <w:rsid w:val="005A14F0"/>
    <w:pPr>
      <w:ind w:left="720"/>
      <w:contextualSpacing/>
    </w:pPr>
  </w:style>
  <w:style w:type="paragraph" w:styleId="Tekstdymka">
    <w:name w:val="Balloon Text"/>
    <w:basedOn w:val="Normalny"/>
    <w:link w:val="TekstdymkaZnak"/>
    <w:uiPriority w:val="99"/>
    <w:semiHidden/>
    <w:unhideWhenUsed/>
    <w:rsid w:val="00377F1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77F1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676</Words>
  <Characters>4060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6</cp:revision>
  <cp:lastPrinted>2023-04-28T10:15:00Z</cp:lastPrinted>
  <dcterms:created xsi:type="dcterms:W3CDTF">2023-04-28T08:59:00Z</dcterms:created>
  <dcterms:modified xsi:type="dcterms:W3CDTF">2023-04-28T13:53:00Z</dcterms:modified>
</cp:coreProperties>
</file>